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wordWrap/>
        <w:jc w:val="center"/>
        <w:pBdr>
          <w:bottom w:val="single" w:sz="12" w:space="1" w:color="auto"/>
        </w:pBdr>
        <w:spacing w:after="0" w:line="240" w:lineRule="auto"/>
        <w:rPr>
          <w:rFonts w:ascii="Times New Roman" w:eastAsia="맑은 고딕" w:hAnsi="Times New Roman" w:cs="Times New Roman"/>
          <w:b/>
          <w:sz w:val="28"/>
          <w:szCs w:val="28"/>
        </w:rPr>
      </w:pPr>
      <w:r>
        <w:rPr>
          <w:rFonts w:ascii="Times New Roman" w:eastAsia="맑은 고딕" w:hAnsi="Times New Roman" w:cs="Times New Roman"/>
          <w:b/>
          <w:sz w:val="28"/>
          <w:szCs w:val="28"/>
        </w:rPr>
        <w:t>‘</w:t>
      </w:r>
      <w:r>
        <w:rPr>
          <w:rFonts w:ascii="Times New Roman" w:eastAsia="맑은 고딕" w:hAnsi="Times New Roman" w:cs="Times New Roman" w:hint="eastAsia"/>
          <w:b/>
          <w:sz w:val="28"/>
          <w:szCs w:val="28"/>
        </w:rPr>
        <w:t>처음</w:t>
      </w:r>
      <w:r>
        <w:rPr>
          <w:rFonts w:ascii="Times New Roman" w:eastAsia="맑은 고딕" w:hAnsi="Times New Roman" w:cs="Times New Roman" w:hint="eastAsia"/>
          <w:b/>
          <w:sz w:val="28"/>
          <w:szCs w:val="28"/>
        </w:rPr>
        <w:t xml:space="preserve"> </w:t>
      </w:r>
      <w:r>
        <w:rPr>
          <w:rFonts w:ascii="Times New Roman" w:eastAsia="맑은 고딕" w:hAnsi="Times New Roman" w:cs="Times New Roman" w:hint="eastAsia"/>
          <w:b/>
          <w:sz w:val="28"/>
          <w:szCs w:val="28"/>
        </w:rPr>
        <w:t>시작하는</w:t>
      </w:r>
      <w:r>
        <w:rPr>
          <w:rFonts w:ascii="Times New Roman" w:eastAsia="맑은 고딕" w:hAnsi="Times New Roman" w:cs="Times New Roman" w:hint="eastAsia"/>
          <w:b/>
          <w:sz w:val="28"/>
          <w:szCs w:val="28"/>
        </w:rPr>
        <w:t xml:space="preserve"> TOEFL</w:t>
      </w:r>
      <w:r>
        <w:rPr>
          <w:rFonts w:ascii="Times New Roman" w:eastAsia="맑은 고딕" w:hAnsi="Times New Roman" w:cs="Times New Roman"/>
          <w:b/>
          <w:sz w:val="28"/>
          <w:szCs w:val="28"/>
        </w:rPr>
        <w:t>’</w:t>
      </w:r>
    </w:p>
    <w:p>
      <w:pPr>
        <w:pStyle w:val="a4"/>
        <w:rPr>
          <w:rFonts w:asciiTheme="minorEastAsia" w:hAnsiTheme="minorEastAsia"/>
        </w:rPr>
      </w:pPr>
    </w:p>
    <w:p>
      <w:pPr>
        <w:pStyle w:val="a4"/>
        <w:rPr>
          <w:b/>
          <w:bCs/>
        </w:rPr>
      </w:pPr>
      <w:r>
        <w:rPr>
          <w:rFonts w:hint="eastAsia"/>
          <w:b/>
          <w:bCs/>
        </w:rPr>
        <w:t xml:space="preserve">1. </w:t>
      </w:r>
      <w:r>
        <w:rPr>
          <w:b/>
          <w:bCs/>
        </w:rPr>
        <w:t>강의목적</w:t>
      </w:r>
    </w:p>
    <w:p>
      <w:pPr>
        <w:pStyle w:val="a4"/>
        <w:jc w:val="left"/>
      </w:pPr>
      <w:r>
        <w:rPr>
          <w:rFonts w:hint="eastAsia"/>
        </w:rPr>
        <w:t>토플 시험의 개요 및 방식을 체계적으로 소개하고, 실</w:t>
      </w:r>
      <w:r>
        <w:rPr>
          <w:rFonts w:hint="eastAsia"/>
        </w:rPr>
        <w:t>전</w:t>
      </w:r>
      <w:r>
        <w:rPr>
          <w:rFonts w:hint="eastAsia"/>
        </w:rPr>
        <w:t xml:space="preserve"> 문제 풀이를 통한 </w:t>
      </w:r>
      <w:r>
        <w:rPr>
          <w:rFonts w:hint="eastAsia"/>
        </w:rPr>
        <w:t xml:space="preserve">각 </w:t>
      </w:r>
      <w:r>
        <w:rPr>
          <w:rFonts w:hint="eastAsia"/>
        </w:rPr>
        <w:t>파트별 접근 전략을 공유함으로써, 학생</w:t>
      </w:r>
      <w:r>
        <w:rPr>
          <w:rFonts w:hint="eastAsia"/>
        </w:rPr>
        <w:t>이</w:t>
      </w:r>
      <w:r>
        <w:rPr>
          <w:rFonts w:hint="eastAsia"/>
        </w:rPr>
        <w:t xml:space="preserve"> 장기적으로 </w:t>
      </w:r>
      <w:r>
        <w:rPr>
          <w:rFonts w:hint="eastAsia"/>
        </w:rPr>
        <w:t xml:space="preserve">스스로 </w:t>
      </w:r>
      <w:r>
        <w:rPr>
          <w:rFonts w:hint="eastAsia"/>
        </w:rPr>
        <w:t xml:space="preserve">시험을 준비할 수 있는 발판을 마련해 줌. </w:t>
      </w:r>
    </w:p>
    <w:p>
      <w:pPr>
        <w:pStyle w:val="a4"/>
        <w:jc w:val="left"/>
      </w:pPr>
    </w:p>
    <w:p>
      <w:pPr>
        <w:pStyle w:val="a4"/>
        <w:jc w:val="left"/>
        <w:rPr>
          <w:b/>
          <w:bCs/>
        </w:rPr>
      </w:pPr>
      <w:r>
        <w:rPr>
          <w:rFonts w:hint="eastAsia"/>
          <w:b/>
          <w:bCs/>
        </w:rPr>
        <w:t>2. 강의 내용</w:t>
      </w:r>
    </w:p>
    <w:tbl>
      <w:tblPr>
        <w:tblStyle w:val="4-3"/>
        <w:tblW w:w="9072" w:type="dxa"/>
        <w:tblInd w:w="-5" w:type="dxa"/>
        <w:tblLook w:val="04A0" w:firstRow="1" w:lastRow="0" w:firstColumn="1" w:lastColumn="0" w:noHBand="0" w:noVBand="1"/>
      </w:tblPr>
      <w:tblGrid>
        <w:gridCol w:w="1115"/>
        <w:gridCol w:w="1012"/>
        <w:gridCol w:w="3402"/>
        <w:gridCol w:w="3543"/>
      </w:tblGrid>
      <w:tr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59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vAlign w:val="center"/>
          </w:tcPr>
          <w:p>
            <w:pPr>
              <w:wordWrap/>
              <w:jc w:val="center"/>
              <w:rPr>
                <w:rFonts w:ascii="나눔스퀘어 Bold" w:eastAsia="나눔스퀘어 Bold" w:hAnsi="나눔스퀘어 Bold" w:cs="Times New Roman"/>
                <w:sz w:val="18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8"/>
                <w:szCs w:val="16"/>
              </w:rPr>
              <w:t>일차</w:t>
            </w:r>
          </w:p>
        </w:tc>
        <w:tc>
          <w:tcPr>
            <w:tcW w:w="1012" w:type="dxa"/>
            <w:vAlign w:val="center"/>
          </w:tcPr>
          <w:p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wordWrap/>
              <w:jc w:val="center"/>
              <w:rPr>
                <w:rFonts w:ascii="나눔스퀘어 Bold" w:eastAsia="나눔스퀘어 Bold" w:hAnsi="나눔스퀘어 Bold" w:cs="Times New Roman"/>
                <w:sz w:val="18"/>
                <w:szCs w:val="16"/>
              </w:rPr>
            </w:pPr>
            <w:r>
              <w:rPr>
                <w:rFonts w:ascii="나눔스퀘어 Bold" w:eastAsia="나눔스퀘어 Bold" w:hAnsi="나눔스퀘어 Bold" w:cs="Times New Roman"/>
                <w:sz w:val="18"/>
                <w:szCs w:val="16"/>
              </w:rPr>
              <w:t>날짜</w:t>
            </w:r>
          </w:p>
        </w:tc>
        <w:tc>
          <w:tcPr>
            <w:tcW w:w="3402" w:type="dxa"/>
            <w:vAlign w:val="center"/>
          </w:tcPr>
          <w:p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wordWrap/>
              <w:jc w:val="center"/>
              <w:rPr>
                <w:rFonts w:ascii="나눔스퀘어 Bold" w:eastAsia="나눔스퀘어 Bold" w:hAnsi="나눔스퀘어 Bold" w:cs="Times New Roman"/>
                <w:sz w:val="18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8"/>
                <w:szCs w:val="16"/>
              </w:rPr>
              <w:t>주제</w:t>
            </w:r>
          </w:p>
        </w:tc>
        <w:tc>
          <w:tcPr>
            <w:tcW w:w="3543" w:type="dxa"/>
            <w:vAlign w:val="center"/>
          </w:tcPr>
          <w:p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wordWrap/>
              <w:jc w:val="center"/>
              <w:rPr>
                <w:rFonts w:ascii="나눔스퀘어 Bold" w:eastAsia="나눔스퀘어 Bold" w:hAnsi="나눔스퀘어 Bold" w:cs="Times New Roman"/>
                <w:sz w:val="18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8"/>
                <w:szCs w:val="16"/>
              </w:rPr>
              <w:t>내용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3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vAlign w:val="center"/>
          </w:tcPr>
          <w:p>
            <w:pPr>
              <w:wordWrap/>
              <w:jc w:val="center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1</w:t>
            </w:r>
          </w:p>
        </w:tc>
        <w:tc>
          <w:tcPr>
            <w:tcW w:w="1012" w:type="dxa"/>
            <w:vAlign w:val="center"/>
          </w:tcPr>
          <w:p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ordWrap/>
              <w:jc w:val="center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3</w:t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>/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23</w:t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>(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월)</w:t>
            </w:r>
          </w:p>
        </w:tc>
        <w:tc>
          <w:tcPr>
            <w:tcW w:w="3402" w:type="dxa"/>
            <w:vAlign w:val="center"/>
          </w:tcPr>
          <w:p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ordWrap/>
              <w:jc w:val="left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O</w:t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 xml:space="preserve">rientation </w:t>
            </w:r>
          </w:p>
        </w:tc>
        <w:tc>
          <w:tcPr>
            <w:tcW w:w="3543" w:type="dxa"/>
            <w:vAlign w:val="center"/>
          </w:tcPr>
          <w:p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ordWrap/>
              <w:jc w:val="left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TOEFL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 xml:space="preserve"> 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 xml:space="preserve">시험 </w:t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>준비를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 xml:space="preserve"> </w:t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>위한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 xml:space="preserve"> </w:t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>필수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 xml:space="preserve"> </w:t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>문법</w:t>
            </w:r>
          </w:p>
        </w:tc>
      </w:tr>
      <w:tr>
        <w:trPr>
          <w:trHeight w:val="69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vAlign w:val="center"/>
          </w:tcPr>
          <w:p>
            <w:pPr>
              <w:wordWrap/>
              <w:jc w:val="center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2</w:t>
            </w:r>
          </w:p>
        </w:tc>
        <w:tc>
          <w:tcPr>
            <w:tcW w:w="1012" w:type="dxa"/>
            <w:vAlign w:val="center"/>
          </w:tcPr>
          <w:p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wordWrap/>
              <w:jc w:val="center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3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/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30</w:t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>(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월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)</w:t>
            </w:r>
          </w:p>
        </w:tc>
        <w:tc>
          <w:tcPr>
            <w:tcW w:w="3402" w:type="dxa"/>
            <w:vAlign w:val="center"/>
          </w:tcPr>
          <w:p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wordWrap/>
              <w:jc w:val="left"/>
              <w:rPr>
                <w:rFonts w:ascii="나눔스퀘어 ExtraBold" w:eastAsia="나눔스퀘어 ExtraBold" w:hAnsi="나눔스퀘어 Extra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sym w:font="Wingdings" w:char="F0A7"/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 xml:space="preserve"> </w:t>
            </w:r>
            <w:r>
              <w:rPr>
                <w:rFonts w:ascii="나눔스퀘어 ExtraBold" w:eastAsia="나눔스퀘어 ExtraBold" w:hAnsi="나눔스퀘어 ExtraBold" w:cs="Times New Roman"/>
                <w:sz w:val="16"/>
                <w:szCs w:val="16"/>
              </w:rPr>
              <w:t>L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 xml:space="preserve">esson 1. 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 xml:space="preserve">TOEFL Writing 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>I</w:t>
            </w:r>
          </w:p>
        </w:tc>
        <w:tc>
          <w:tcPr>
            <w:tcW w:w="3543" w:type="dxa"/>
            <w:vAlign w:val="center"/>
          </w:tcPr>
          <w:p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wordWrap/>
              <w:jc w:val="left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 xml:space="preserve">통합형 </w:t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>분석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 xml:space="preserve"> 및 실습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vAlign w:val="center"/>
          </w:tcPr>
          <w:p>
            <w:pPr>
              <w:wordWrap/>
              <w:jc w:val="center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3</w:t>
            </w:r>
          </w:p>
        </w:tc>
        <w:tc>
          <w:tcPr>
            <w:tcW w:w="1012" w:type="dxa"/>
            <w:vAlign w:val="center"/>
          </w:tcPr>
          <w:p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ordWrap/>
              <w:jc w:val="center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4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/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6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(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월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)</w:t>
            </w:r>
          </w:p>
        </w:tc>
        <w:tc>
          <w:tcPr>
            <w:tcW w:w="3402" w:type="dxa"/>
            <w:vAlign w:val="center"/>
          </w:tcPr>
          <w:p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ordWrap/>
              <w:jc w:val="left"/>
              <w:rPr>
                <w:rFonts w:ascii="나눔스퀘어 ExtraBold" w:eastAsia="나눔스퀘어 ExtraBold" w:hAnsi="나눔스퀘어 Extra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sym w:font="Wingdings" w:char="F0A7"/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 xml:space="preserve"> </w:t>
            </w:r>
            <w:r>
              <w:rPr>
                <w:rFonts w:ascii="나눔스퀘어 ExtraBold" w:eastAsia="나눔스퀘어 ExtraBold" w:hAnsi="나눔스퀘어 ExtraBold" w:cs="Times New Roman"/>
                <w:sz w:val="16"/>
                <w:szCs w:val="16"/>
              </w:rPr>
              <w:t>L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 xml:space="preserve">esson 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>2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 xml:space="preserve">. 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 xml:space="preserve">TOEFL Writing 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>II</w:t>
            </w:r>
          </w:p>
        </w:tc>
        <w:tc>
          <w:tcPr>
            <w:tcW w:w="3543" w:type="dxa"/>
            <w:vAlign w:val="center"/>
          </w:tcPr>
          <w:p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ordWrap/>
              <w:jc w:val="left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독립형 분석 및 실습</w:t>
            </w:r>
          </w:p>
        </w:tc>
      </w:tr>
      <w:tr>
        <w:trPr>
          <w:trHeight w:val="69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vAlign w:val="center"/>
          </w:tcPr>
          <w:p>
            <w:pPr>
              <w:wordWrap/>
              <w:jc w:val="center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4</w:t>
            </w:r>
          </w:p>
        </w:tc>
        <w:tc>
          <w:tcPr>
            <w:tcW w:w="1012" w:type="dxa"/>
            <w:vAlign w:val="center"/>
          </w:tcPr>
          <w:p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wordWrap/>
              <w:jc w:val="center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4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/1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3</w:t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>(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월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)</w:t>
            </w:r>
          </w:p>
        </w:tc>
        <w:tc>
          <w:tcPr>
            <w:tcW w:w="3402" w:type="dxa"/>
            <w:vAlign w:val="center"/>
          </w:tcPr>
          <w:p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wordWrap/>
              <w:jc w:val="left"/>
              <w:rPr>
                <w:rFonts w:ascii="나눔스퀘어 ExtraBold" w:eastAsia="나눔스퀘어 ExtraBold" w:hAnsi="나눔스퀘어 Extra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sym w:font="Wingdings" w:char="F0A7"/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 xml:space="preserve"> </w:t>
            </w:r>
            <w:r>
              <w:rPr>
                <w:rFonts w:ascii="나눔스퀘어 ExtraBold" w:eastAsia="나눔스퀘어 ExtraBold" w:hAnsi="나눔스퀘어 ExtraBold" w:cs="Times New Roman"/>
                <w:sz w:val="16"/>
                <w:szCs w:val="16"/>
              </w:rPr>
              <w:t>L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 xml:space="preserve">esson 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>3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 xml:space="preserve">. 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 xml:space="preserve">TOEFL Reading I </w:t>
            </w:r>
          </w:p>
        </w:tc>
        <w:tc>
          <w:tcPr>
            <w:tcW w:w="3543" w:type="dxa"/>
            <w:vAlign w:val="center"/>
          </w:tcPr>
          <w:p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wordWrap/>
              <w:jc w:val="left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R</w:t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>e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ading 유형별 풀이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vAlign w:val="center"/>
          </w:tcPr>
          <w:p>
            <w:pPr>
              <w:wordWrap/>
              <w:jc w:val="center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5</w:t>
            </w:r>
          </w:p>
        </w:tc>
        <w:tc>
          <w:tcPr>
            <w:tcW w:w="1012" w:type="dxa"/>
            <w:vAlign w:val="center"/>
          </w:tcPr>
          <w:p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ordWrap/>
              <w:jc w:val="center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4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/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27</w:t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>(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월)</w:t>
            </w:r>
          </w:p>
        </w:tc>
        <w:tc>
          <w:tcPr>
            <w:tcW w:w="3402" w:type="dxa"/>
            <w:vAlign w:val="center"/>
          </w:tcPr>
          <w:p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ordWrap/>
              <w:jc w:val="left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sym w:font="Wingdings" w:char="F0A7"/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 xml:space="preserve"> 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 xml:space="preserve">Lesson 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>4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 xml:space="preserve">. 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>TOEFL Reading II</w:t>
            </w:r>
          </w:p>
        </w:tc>
        <w:tc>
          <w:tcPr>
            <w:tcW w:w="3543" w:type="dxa"/>
            <w:vAlign w:val="center"/>
          </w:tcPr>
          <w:p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ordWrap/>
              <w:jc w:val="left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Reading 실전 문제</w:t>
            </w:r>
          </w:p>
        </w:tc>
      </w:tr>
      <w:tr>
        <w:trPr>
          <w:trHeight w:val="69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vAlign w:val="center"/>
          </w:tcPr>
          <w:p>
            <w:pPr>
              <w:wordWrap/>
              <w:jc w:val="center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6</w:t>
            </w:r>
          </w:p>
        </w:tc>
        <w:tc>
          <w:tcPr>
            <w:tcW w:w="1012" w:type="dxa"/>
            <w:vAlign w:val="center"/>
          </w:tcPr>
          <w:p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wordWrap/>
              <w:jc w:val="center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5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/</w:t>
            </w:r>
            <w:r>
              <w:rPr>
                <w:lang w:eastAsia="ko-KR"/>
                <w:rFonts w:ascii="나눔스퀘어 Bold" w:eastAsia="나눔스퀘어 Bold" w:hAnsi="나눔스퀘어 Bold" w:cs="Times New Roman" w:hint="eastAsia"/>
                <w:sz w:val="16"/>
                <w:szCs w:val="16"/>
                <w:rtl w:val="off"/>
              </w:rPr>
              <w:t>4</w:t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>(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월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)</w:t>
            </w:r>
          </w:p>
        </w:tc>
        <w:tc>
          <w:tcPr>
            <w:tcW w:w="3402" w:type="dxa"/>
            <w:vAlign w:val="center"/>
          </w:tcPr>
          <w:p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wordWrap/>
              <w:jc w:val="left"/>
              <w:rPr>
                <w:rFonts w:ascii="나눔스퀘어 ExtraBold" w:eastAsia="나눔스퀘어 ExtraBold" w:hAnsi="나눔스퀘어 Extra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sym w:font="Wingdings" w:char="F0A7"/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 xml:space="preserve"> </w:t>
            </w:r>
            <w:r>
              <w:rPr>
                <w:rFonts w:ascii="나눔스퀘어 ExtraBold" w:eastAsia="나눔스퀘어 ExtraBold" w:hAnsi="나눔스퀘어 ExtraBold" w:cs="Times New Roman"/>
                <w:sz w:val="16"/>
                <w:szCs w:val="16"/>
              </w:rPr>
              <w:t>L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 xml:space="preserve">esson 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>5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>.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 xml:space="preserve"> TOEFL Listening I</w:t>
            </w:r>
          </w:p>
        </w:tc>
        <w:tc>
          <w:tcPr>
            <w:tcW w:w="3543" w:type="dxa"/>
            <w:vAlign w:val="center"/>
          </w:tcPr>
          <w:p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wordWrap/>
              <w:jc w:val="left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Listening 유형별 풀이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vAlign w:val="center"/>
          </w:tcPr>
          <w:p>
            <w:pPr>
              <w:wordWrap/>
              <w:jc w:val="center"/>
              <w:rPr>
                <w:rFonts w:ascii="나눔스퀘어 Bold" w:eastAsia="나눔스퀘어 Bold" w:hAnsi="나눔스퀘어 Bold" w:cs="Arial Unicode MS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Arial Unicode MS" w:hint="eastAsia"/>
                <w:sz w:val="16"/>
                <w:szCs w:val="16"/>
              </w:rPr>
              <w:t>7</w:t>
            </w:r>
          </w:p>
        </w:tc>
        <w:tc>
          <w:tcPr>
            <w:tcW w:w="1012" w:type="dxa"/>
            <w:vAlign w:val="center"/>
          </w:tcPr>
          <w:p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ordWrap/>
              <w:jc w:val="center"/>
              <w:rPr>
                <w:rFonts w:ascii="나눔스퀘어 Bold" w:eastAsia="나눔스퀘어 Bold" w:hAnsi="나눔스퀘어 Bold" w:cs="Arial Unicode MS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Arial Unicode MS" w:hint="eastAsia"/>
                <w:sz w:val="16"/>
                <w:szCs w:val="16"/>
              </w:rPr>
              <w:t>5</w:t>
            </w:r>
            <w:r>
              <w:rPr>
                <w:rFonts w:ascii="나눔스퀘어 Bold" w:eastAsia="나눔스퀘어 Bold" w:hAnsi="나눔스퀘어 Bold" w:cs="Arial Unicode MS" w:hint="eastAsia"/>
                <w:sz w:val="16"/>
                <w:szCs w:val="16"/>
              </w:rPr>
              <w:t>/</w:t>
            </w:r>
            <w:r>
              <w:rPr>
                <w:lang w:eastAsia="ko-KR"/>
                <w:rFonts w:ascii="나눔스퀘어 Bold" w:eastAsia="나눔스퀘어 Bold" w:hAnsi="나눔스퀘어 Bold" w:cs="Arial Unicode MS" w:hint="eastAsia"/>
                <w:sz w:val="16"/>
                <w:szCs w:val="16"/>
                <w:rtl w:val="off"/>
              </w:rPr>
              <w:t>11</w:t>
            </w:r>
            <w:r>
              <w:rPr>
                <w:rFonts w:ascii="나눔스퀘어 Bold" w:eastAsia="나눔스퀘어 Bold" w:hAnsi="나눔스퀘어 Bold" w:cs="Arial Unicode MS"/>
                <w:sz w:val="16"/>
                <w:szCs w:val="16"/>
              </w:rPr>
              <w:t>(</w:t>
            </w:r>
            <w:r>
              <w:rPr>
                <w:rFonts w:ascii="나눔스퀘어 Bold" w:eastAsia="나눔스퀘어 Bold" w:hAnsi="나눔스퀘어 Bold" w:cs="Arial Unicode MS" w:hint="eastAsia"/>
                <w:sz w:val="16"/>
                <w:szCs w:val="16"/>
              </w:rPr>
              <w:t>월</w:t>
            </w:r>
            <w:r>
              <w:rPr>
                <w:rFonts w:ascii="나눔스퀘어 Bold" w:eastAsia="나눔스퀘어 Bold" w:hAnsi="나눔스퀘어 Bold" w:cs="Arial Unicode MS" w:hint="eastAsia"/>
                <w:sz w:val="16"/>
                <w:szCs w:val="16"/>
              </w:rPr>
              <w:t>)</w:t>
            </w:r>
          </w:p>
        </w:tc>
        <w:tc>
          <w:tcPr>
            <w:tcW w:w="3402" w:type="dxa"/>
            <w:vAlign w:val="center"/>
          </w:tcPr>
          <w:p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ordWrap/>
              <w:jc w:val="left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sym w:font="Wingdings" w:char="F0A7"/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 xml:space="preserve"> L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 xml:space="preserve">esson 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6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.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 xml:space="preserve"> TOEFL Listening II</w:t>
            </w:r>
          </w:p>
        </w:tc>
        <w:tc>
          <w:tcPr>
            <w:tcW w:w="3543" w:type="dxa"/>
            <w:vAlign w:val="center"/>
          </w:tcPr>
          <w:p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ordWrap/>
              <w:jc w:val="left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Listening 실전 문제</w:t>
            </w:r>
          </w:p>
        </w:tc>
      </w:tr>
      <w:tr>
        <w:trPr>
          <w:trHeight w:val="690" w:hRule="atLeast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5" w:type="dxa"/>
            <w:vAlign w:val="center"/>
          </w:tcPr>
          <w:p>
            <w:pPr>
              <w:wordWrap/>
              <w:jc w:val="center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8</w:t>
            </w:r>
          </w:p>
        </w:tc>
        <w:tc>
          <w:tcPr>
            <w:tcW w:w="1012" w:type="dxa"/>
            <w:vAlign w:val="center"/>
          </w:tcPr>
          <w:p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wordWrap/>
              <w:jc w:val="center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5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/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1</w:t>
            </w:r>
            <w:r>
              <w:rPr>
                <w:lang w:eastAsia="ko-KR"/>
                <w:rFonts w:ascii="나눔스퀘어 Bold" w:eastAsia="나눔스퀘어 Bold" w:hAnsi="나눔스퀘어 Bold" w:cs="Times New Roman" w:hint="eastAsia"/>
                <w:sz w:val="16"/>
                <w:szCs w:val="16"/>
                <w:rtl w:val="off"/>
              </w:rPr>
              <w:t>8</w:t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>(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월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)</w:t>
            </w:r>
          </w:p>
        </w:tc>
        <w:tc>
          <w:tcPr>
            <w:tcW w:w="3402" w:type="dxa"/>
            <w:vAlign w:val="center"/>
          </w:tcPr>
          <w:p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wordWrap/>
              <w:jc w:val="left"/>
              <w:rPr>
                <w:rFonts w:ascii="나눔스퀘어 ExtraBold" w:eastAsia="나눔스퀘어 ExtraBold" w:hAnsi="나눔스퀘어 Extra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sym w:font="Wingdings" w:char="F0A7"/>
            </w:r>
            <w:r>
              <w:rPr>
                <w:rFonts w:ascii="나눔스퀘어 Bold" w:eastAsia="나눔스퀘어 Bold" w:hAnsi="나눔스퀘어 Bold" w:cs="Times New Roman"/>
                <w:sz w:val="16"/>
                <w:szCs w:val="16"/>
              </w:rPr>
              <w:t xml:space="preserve"> </w:t>
            </w:r>
            <w:r>
              <w:rPr>
                <w:rFonts w:ascii="나눔스퀘어 ExtraBold" w:eastAsia="나눔스퀘어 ExtraBold" w:hAnsi="나눔스퀘어 ExtraBold" w:cs="Times New Roman"/>
                <w:sz w:val="16"/>
                <w:szCs w:val="16"/>
              </w:rPr>
              <w:t>L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>esson</w:t>
            </w:r>
            <w:r>
              <w:rPr>
                <w:rFonts w:ascii="나눔스퀘어 ExtraBold" w:eastAsia="나눔스퀘어 ExtraBold" w:hAnsi="나눔스퀘어 ExtraBold" w:cs="Times New Roman" w:hint="eastAsia"/>
                <w:sz w:val="16"/>
                <w:szCs w:val="16"/>
              </w:rPr>
              <w:t xml:space="preserve"> 7. TOEFL Speaking </w:t>
            </w:r>
          </w:p>
        </w:tc>
        <w:tc>
          <w:tcPr>
            <w:tcW w:w="3543" w:type="dxa"/>
            <w:vAlign w:val="center"/>
          </w:tcPr>
          <w:p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wordWrap/>
              <w:jc w:val="left"/>
              <w:rPr>
                <w:rFonts w:ascii="나눔스퀘어 Bold" w:eastAsia="나눔스퀘어 Bold" w:hAnsi="나눔스퀘어 Bold" w:cs="Times New Roman"/>
                <w:sz w:val="16"/>
                <w:szCs w:val="16"/>
              </w:rPr>
            </w:pP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 xml:space="preserve">문장 패턴 </w:t>
            </w:r>
            <w:r>
              <w:rPr>
                <w:rFonts w:ascii="나눔스퀘어 Bold" w:eastAsia="나눔스퀘어 Bold" w:hAnsi="나눔스퀘어 Bold" w:cs="Times New Roman" w:hint="eastAsia"/>
                <w:sz w:val="16"/>
                <w:szCs w:val="16"/>
              </w:rPr>
              <w:t>연습 및 실전</w:t>
            </w:r>
          </w:p>
        </w:tc>
      </w:tr>
    </w:tbl>
    <w:p>
      <w:pPr>
        <w:pStyle w:val="a4"/>
        <w:jc w:val="right"/>
        <w:rPr>
          <w:sz w:val="16"/>
          <w:szCs w:val="16"/>
        </w:rPr>
      </w:pPr>
      <w:r>
        <w:rPr>
          <w:rFonts w:asciiTheme="minorEastAsia" w:hAnsiTheme="minorEastAsia"/>
          <w:sz w:val="16"/>
          <w:szCs w:val="16"/>
        </w:rPr>
        <w:t xml:space="preserve">◈ </w:t>
      </w:r>
      <w:r>
        <w:rPr>
          <w:rFonts w:asciiTheme="minorEastAsia" w:hAnsiTheme="minorEastAsia"/>
          <w:sz w:val="16"/>
          <w:szCs w:val="16"/>
        </w:rPr>
        <w:t xml:space="preserve">위 계획은 </w:t>
      </w:r>
      <w:r>
        <w:rPr>
          <w:rFonts w:asciiTheme="minorEastAsia" w:hAnsiTheme="minorEastAsia"/>
          <w:sz w:val="16"/>
          <w:szCs w:val="16"/>
        </w:rPr>
        <w:t>학생의 이해 수준과 정도에 따라 변경될 수 있음.</w:t>
      </w:r>
    </w:p>
    <w:p>
      <w:pPr>
        <w:pStyle w:val="a4"/>
        <w:jc w:val="left"/>
      </w:pPr>
    </w:p>
    <w:p>
      <w:pPr>
        <w:pStyle w:val="a4"/>
        <w:jc w:val="left"/>
      </w:pPr>
      <w:r>
        <w:rPr>
          <w:rFonts w:hint="eastAsia"/>
          <w:b/>
          <w:bCs/>
        </w:rPr>
        <w:t>3. 강의 방식</w:t>
      </w:r>
      <w:r>
        <w:rPr>
          <w:rFonts w:hint="eastAsia"/>
        </w:rPr>
        <w:t>: 대면 수업으로 진행되며, 강의실은 차후 공지</w:t>
      </w:r>
    </w:p>
    <w:p>
      <w:pPr>
        <w:pStyle w:val="a4"/>
        <w:jc w:val="left"/>
      </w:pPr>
    </w:p>
    <w:p>
      <w:pPr>
        <w:pStyle w:val="a4"/>
        <w:jc w:val="left"/>
      </w:pPr>
      <w:r>
        <w:rPr>
          <w:rFonts w:hint="eastAsia"/>
          <w:b/>
          <w:bCs/>
        </w:rPr>
        <w:t>4. 강의 시간</w:t>
      </w:r>
      <w:r>
        <w:rPr>
          <w:rFonts w:hint="eastAsia"/>
        </w:rPr>
        <w:t>: 매주 월요일 15:00 ~ 18: 4</w:t>
      </w:r>
      <w:r>
        <w:rPr>
          <w:rFonts w:hint="eastAsia"/>
        </w:rPr>
        <w:t>5</w:t>
      </w:r>
      <w:r>
        <w:rPr>
          <w:rFonts w:hint="eastAsia"/>
        </w:rPr>
        <w:t xml:space="preserve"> (중간고사 휴강)</w:t>
      </w:r>
    </w:p>
    <w:p>
      <w:pPr>
        <w:pStyle w:val="a4"/>
        <w:jc w:val="left"/>
      </w:pPr>
    </w:p>
    <w:p>
      <w:pPr>
        <w:pStyle w:val="a4"/>
        <w:jc w:val="left"/>
      </w:pPr>
      <w:r>
        <w:rPr>
          <w:rFonts w:hint="eastAsia"/>
          <w:b/>
          <w:bCs/>
        </w:rPr>
        <w:t>5. 교재</w:t>
      </w:r>
      <w:r>
        <w:rPr>
          <w:rFonts w:hint="eastAsia"/>
        </w:rPr>
        <w:t>: 자체 교재</w:t>
      </w:r>
    </w:p>
    <w:p>
      <w:pPr>
        <w:pStyle w:val="a4"/>
        <w:jc w:val="left"/>
      </w:pPr>
    </w:p>
    <w:p>
      <w:pPr>
        <w:pStyle w:val="a4"/>
        <w:jc w:val="left"/>
      </w:pPr>
      <w:r>
        <w:rPr>
          <w:rFonts w:hint="eastAsia"/>
          <w:b/>
          <w:bCs/>
        </w:rPr>
        <w:t xml:space="preserve">6. 강사 </w:t>
      </w:r>
      <w:r>
        <w:rPr>
          <w:rFonts w:hint="eastAsia"/>
          <w:b/>
          <w:bCs/>
        </w:rPr>
        <w:t>소개</w:t>
      </w:r>
      <w:r>
        <w:rPr>
          <w:rFonts w:hint="eastAsia"/>
        </w:rPr>
        <w:t>: 최정숙 (forbee88@gmail.com)</w:t>
      </w:r>
    </w:p>
    <w:p>
      <w:pPr>
        <w:pStyle w:val="a4"/>
        <w:jc w:val="left"/>
      </w:pPr>
    </w:p>
    <w:p>
      <w:pPr>
        <w:pStyle w:val="a4"/>
        <w:jc w:val="left"/>
      </w:pPr>
      <w:r>
        <w:rPr>
          <w:rFonts w:hint="eastAsia"/>
        </w:rPr>
        <w:t xml:space="preserve">연세대학교 국제학대학원 한국학 석사, </w:t>
      </w:r>
      <w:r>
        <w:rPr>
          <w:rFonts w:hint="eastAsia"/>
        </w:rPr>
        <w:t>미국캘리포니아</w:t>
      </w:r>
      <w:r>
        <w:rPr>
          <w:rFonts w:hint="eastAsia"/>
        </w:rPr>
        <w:t xml:space="preserve"> 주립대 (데이비스 분교) 인류학 석사. 지은 책으로는 &lt;미국식 영작문 수업&gt;, &lt;미국식 영작문 수업 입문&gt;, &lt;미국식 영작문 수업 어휘&gt;, &lt;영어를 네이티브처럼 말하고 쓰는 법&gt;, &lt;</w:t>
      </w:r>
      <w:r>
        <w:rPr>
          <w:rFonts w:hint="eastAsia"/>
        </w:rPr>
        <w:t>워드시프트</w:t>
      </w:r>
      <w:r>
        <w:rPr>
          <w:rFonts w:hint="eastAsia"/>
        </w:rPr>
        <w:t>&gt;</w:t>
      </w:r>
      <w:r>
        <w:rPr>
          <w:rFonts w:hint="eastAsia"/>
        </w:rPr>
        <w:t xml:space="preserve">가 있음. </w:t>
      </w:r>
    </w:p>
    <w:p>
      <w:pPr>
        <w:autoSpaceDE/>
        <w:autoSpaceDN/>
        <w:widowControl/>
        <w:wordWrap/>
        <w:rPr>
          <w:b/>
        </w:rPr>
      </w:pPr>
    </w:p>
    <w:sectPr>
      <w:pgSz w:w="11906" w:h="16838"/>
      <w:pgMar w:top="1701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Times New Roman">
    <w:panose1 w:val="02020603050405020304"/>
    <w:family w:val="roman"/>
    <w:charset w:val="00"/>
    <w:notTrueType w:val="false"/>
    <w:sig w:usb0="E0002EFF" w:usb1="C000785B" w:usb2="00000009" w:usb3="00000001" w:csb0="400001FF" w:csb1="FFFF0000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나눔스퀘어 Bold">
    <w:panose1 w:val="020B0600000101010101"/>
    <w:family w:val="modern"/>
    <w:charset w:val="81"/>
    <w:notTrueType w:val="false"/>
    <w:sig w:usb0="00000203" w:usb1="21D12C10" w:usb2="00000010" w:usb3="00000001" w:csb0="00280005" w:csb1="00000001"/>
  </w:font>
  <w:font w:name="나눔스퀘어 ExtraBold">
    <w:panose1 w:val="020B0600000101010101"/>
    <w:family w:val="modern"/>
    <w:charset w:val="81"/>
    <w:notTrueType w:val="false"/>
    <w:sig w:usb0="00000203" w:usb1="21D12C10" w:usb2="00000010" w:usb3="00000001" w:csb0="00280005" w:csb1="00000001"/>
  </w:font>
  <w:font w:name="Arial Unicode MS">
    <w:panose1 w:val="020B0604020202020204"/>
    <w:family w:val="modern"/>
    <w:charset w:val="81"/>
    <w:notTrueType w:val="false"/>
    <w:sig w:usb0="FFFFFFFF" w:usb1="E9FFFFFF" w:usb2="0000003F" w:usb3="00000001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6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8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uiPriority w:val="59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pPr>
      <w:autoSpaceDE w:val="off"/>
      <w:autoSpaceDN w:val="off"/>
      <w:widowControl w:val="off"/>
      <w:wordWrap w:val="off"/>
      <w:spacing w:after="0" w:line="240" w:lineRule="auto"/>
    </w:pPr>
  </w:style>
  <w:style w:type="paragraph" w:styleId="a5">
    <w:name w:val="List Paragraph"/>
    <w:uiPriority w:val="34"/>
    <w:basedOn w:val="a"/>
    <w:qFormat/>
    <w:pPr>
      <w:ind w:leftChars="400" w:left="800"/>
    </w:pPr>
  </w:style>
  <w:style w:type="character" w:styleId="a6">
    <w:name w:val="Hyperlink"/>
    <w:uiPriority w:val="99"/>
    <w:basedOn w:val="a0"/>
    <w:unhideWhenUsed/>
    <w:rPr>
      <w:color w:val="0000FF"/>
      <w:u w:val="single" w:color="auto"/>
    </w:rPr>
  </w:style>
  <w:style w:type="paragraph" w:styleId="a7">
    <w:name w:val="head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basedOn w:val="a0"/>
    <w:link w:val="a7"/>
  </w:style>
  <w:style w:type="paragraph" w:styleId="a8">
    <w:name w:val="foot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basedOn w:val="a0"/>
    <w:link w:val="a8"/>
  </w:style>
  <w:style w:type="table" w:styleId="4-3">
    <w:name w:val="Grid Table 4 Accent 3"/>
    <w:uiPriority w:val="49"/>
    <w:basedOn w:val="a1"/>
    <w:pPr>
      <w:spacing w:after="0" w:line="240" w:lineRule="auto"/>
    </w:pPr>
    <w:tblPr>
      <w:tblBorders>
        <w:top w:val="single" w:sz="4" w:space="0" w:color="C3D69B" w:themeColor="accent3" w:themeTint="99"/>
        <w:left w:val="single" w:sz="4" w:space="0" w:color="C3D69B" w:themeColor="accent3" w:themeTint="99"/>
        <w:bottom w:val="single" w:sz="4" w:space="0" w:color="C3D69B" w:themeColor="accent3" w:themeTint="99"/>
        <w:right w:val="single" w:sz="4" w:space="0" w:color="C3D69B" w:themeColor="accent3" w:themeTint="99"/>
        <w:insideH w:val="single" w:sz="4" w:space="0" w:color="C3D69B" w:themeColor="accent3" w:themeTint="99"/>
        <w:insideV w:val="single" w:sz="4" w:space="0" w:color="C3D69B" w:themeColor="accent3" w:themeTint="99"/>
      </w:tblBorders>
      <w:tblStyleColBandSize w:val="1"/>
      <w:tblStyleRowBandSize w:val="1"/>
    </w:tblPr>
    <w:tblStylePr w:type="firstRow">
      <w:rPr>
        <w:b/>
        <w:bCs/>
        <w:color w:val="FFFFFF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F1DD" w:themeFill="accent3" w:themeFillTint="33"/>
      </w:tcPr>
    </w:tblStylePr>
    <w:tblStylePr w:type="band1Horz">
      <w:tblPr/>
      <w:tcPr>
        <w:shd w:val="clear" w:color="auto" w:fill="EBF1DD" w:themeFill="accent3" w:themeFillTint="33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user</cp:lastModifiedBy>
  <cp:revision>1</cp:revision>
  <dcterms:created xsi:type="dcterms:W3CDTF">2026-02-09T04:27:00Z</dcterms:created>
  <dcterms:modified xsi:type="dcterms:W3CDTF">2026-03-11T08:02:51Z</dcterms:modified>
  <cp:lastPrinted>2026-02-10T02:45:00Z</cp:lastPrinted>
  <cp:version>1000.0100.01</cp:version>
</cp:coreProperties>
</file>